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82" w:rsidRPr="00D46382" w:rsidRDefault="00D46382" w:rsidP="00D46382">
      <w:pPr>
        <w:spacing w:line="560" w:lineRule="exact"/>
        <w:jc w:val="center"/>
        <w:rPr>
          <w:rFonts w:ascii="黑体" w:eastAsia="黑体" w:hAnsi="黑体" w:hint="eastAsia"/>
          <w:b/>
          <w:sz w:val="32"/>
          <w:szCs w:val="32"/>
        </w:rPr>
      </w:pPr>
      <w:r w:rsidRPr="00D46382">
        <w:rPr>
          <w:rFonts w:ascii="黑体" w:eastAsia="黑体" w:hAnsi="黑体" w:hint="eastAsia"/>
          <w:b/>
          <w:sz w:val="32"/>
          <w:szCs w:val="32"/>
        </w:rPr>
        <w:t>上海市教育委员会关于公布2015年度</w:t>
      </w:r>
    </w:p>
    <w:p w:rsidR="00D46382" w:rsidRPr="00D46382" w:rsidRDefault="00D46382" w:rsidP="00D46382">
      <w:pPr>
        <w:spacing w:line="560" w:lineRule="exact"/>
        <w:jc w:val="center"/>
        <w:rPr>
          <w:rFonts w:ascii="黑体" w:eastAsia="黑体" w:hAnsi="黑体" w:hint="eastAsia"/>
          <w:b/>
          <w:sz w:val="32"/>
          <w:szCs w:val="32"/>
        </w:rPr>
      </w:pPr>
      <w:r w:rsidRPr="00D46382">
        <w:rPr>
          <w:rFonts w:ascii="黑体" w:eastAsia="黑体" w:hAnsi="黑体" w:hint="eastAsia"/>
          <w:b/>
          <w:sz w:val="32"/>
          <w:szCs w:val="32"/>
        </w:rPr>
        <w:t>上海市教育科学研究项目的通知</w:t>
      </w:r>
    </w:p>
    <w:p w:rsidR="00D46382" w:rsidRPr="00D46382" w:rsidRDefault="00D46382" w:rsidP="00D46382">
      <w:pPr>
        <w:spacing w:line="560" w:lineRule="exact"/>
        <w:rPr>
          <w:rFonts w:asciiTheme="majorEastAsia" w:eastAsiaTheme="majorEastAsia" w:hAnsiTheme="majorEastAsia" w:hint="eastAsia"/>
          <w:szCs w:val="21"/>
        </w:rPr>
      </w:pPr>
    </w:p>
    <w:p w:rsidR="00D46382" w:rsidRPr="00D46382" w:rsidRDefault="00D46382" w:rsidP="00D46382">
      <w:pPr>
        <w:spacing w:line="560" w:lineRule="exact"/>
        <w:rPr>
          <w:rFonts w:asciiTheme="majorEastAsia" w:eastAsiaTheme="majorEastAsia" w:hAnsiTheme="majorEastAsia" w:hint="eastAsia"/>
          <w:szCs w:val="21"/>
        </w:rPr>
      </w:pPr>
      <w:r w:rsidRPr="00D46382">
        <w:rPr>
          <w:rFonts w:asciiTheme="majorEastAsia" w:eastAsiaTheme="majorEastAsia" w:hAnsiTheme="majorEastAsia" w:hint="eastAsia"/>
          <w:szCs w:val="21"/>
        </w:rPr>
        <w:t>各高等学校、区县教育局，各有关单位：</w:t>
      </w:r>
    </w:p>
    <w:p w:rsidR="00D46382" w:rsidRPr="00D46382" w:rsidRDefault="00D46382" w:rsidP="00D46382">
      <w:pPr>
        <w:spacing w:line="540" w:lineRule="exact"/>
        <w:jc w:val="left"/>
        <w:rPr>
          <w:rFonts w:asciiTheme="majorEastAsia" w:eastAsiaTheme="majorEastAsia" w:hAnsiTheme="majorEastAsia" w:hint="eastAsia"/>
          <w:szCs w:val="21"/>
        </w:rPr>
      </w:pPr>
      <w:r w:rsidRPr="00D46382">
        <w:rPr>
          <w:rFonts w:asciiTheme="majorEastAsia" w:eastAsiaTheme="majorEastAsia" w:hAnsiTheme="majorEastAsia" w:hint="eastAsia"/>
          <w:szCs w:val="21"/>
        </w:rPr>
        <w:t xml:space="preserve">    根据《上海市教育委员会关于组织申报2015年度上海市教育科学研究项目的通知》（沪教委科〔2015〕16号），各高校、各区县开展了2015年度上海市教育科学研究项目的申报工作。经学科组专家评议，上海市教育科学规划领导小组审定，网上公示无异议，我委审定确立10项重大项目、12项重点项目、100项市级项目、13项决策咨询项目，现将各类项目名单予以公布（详见附件1、2、3、4）。根据中共上海市委宣传部、上海市教育委员会《关于将上海市教育科学研究重点项目设立为上海市哲学社会科学规划教育学课题的通知》（沪委宣〔2009〕188号），本次确立的12项重点项目同时确立为上海市哲学社会科学规划教育学课题。</w:t>
      </w:r>
    </w:p>
    <w:p w:rsidR="00D46382" w:rsidRPr="00D46382" w:rsidRDefault="00D46382" w:rsidP="00D46382">
      <w:pPr>
        <w:spacing w:line="560" w:lineRule="exact"/>
        <w:ind w:firstLineChars="200" w:firstLine="420"/>
        <w:rPr>
          <w:rFonts w:asciiTheme="majorEastAsia" w:eastAsiaTheme="majorEastAsia" w:hAnsiTheme="majorEastAsia" w:hint="eastAsia"/>
          <w:szCs w:val="21"/>
        </w:rPr>
      </w:pPr>
      <w:r w:rsidRPr="00D46382">
        <w:rPr>
          <w:rFonts w:asciiTheme="majorEastAsia" w:eastAsiaTheme="majorEastAsia" w:hAnsiTheme="majorEastAsia" w:hint="eastAsia"/>
          <w:szCs w:val="21"/>
        </w:rPr>
        <w:t>请各有关单位及项目承担者与上海市教育科学规划办公室联系，以便做好立项工作。上海市教育科学规划办公室，地址：茶陵北路21号，邮编：200032，联系电话：64184439、64182088。</w:t>
      </w:r>
    </w:p>
    <w:p w:rsidR="00D46382" w:rsidRPr="00D46382" w:rsidRDefault="00D46382" w:rsidP="00D46382">
      <w:pPr>
        <w:spacing w:line="560" w:lineRule="exact"/>
        <w:ind w:firstLineChars="200" w:firstLine="420"/>
        <w:rPr>
          <w:rFonts w:asciiTheme="majorEastAsia" w:eastAsiaTheme="majorEastAsia" w:hAnsiTheme="majorEastAsia" w:hint="eastAsia"/>
          <w:szCs w:val="21"/>
        </w:rPr>
      </w:pPr>
    </w:p>
    <w:p w:rsidR="00D46382" w:rsidRPr="00D46382" w:rsidRDefault="00D46382" w:rsidP="00D46382">
      <w:pPr>
        <w:spacing w:line="560" w:lineRule="exact"/>
        <w:ind w:firstLineChars="200" w:firstLine="420"/>
        <w:rPr>
          <w:rFonts w:asciiTheme="majorEastAsia" w:eastAsiaTheme="majorEastAsia" w:hAnsiTheme="majorEastAsia"/>
          <w:szCs w:val="21"/>
        </w:rPr>
      </w:pPr>
      <w:r w:rsidRPr="00D46382">
        <w:rPr>
          <w:rFonts w:asciiTheme="majorEastAsia" w:eastAsiaTheme="majorEastAsia" w:hAnsiTheme="majorEastAsia" w:hint="eastAsia"/>
          <w:szCs w:val="21"/>
        </w:rPr>
        <w:t>附件：</w:t>
      </w:r>
      <w:r w:rsidRPr="00D46382">
        <w:rPr>
          <w:rFonts w:asciiTheme="majorEastAsia" w:eastAsiaTheme="majorEastAsia" w:hAnsiTheme="majorEastAsia"/>
          <w:szCs w:val="21"/>
        </w:rPr>
        <w:t>1.</w:t>
      </w:r>
      <w:r w:rsidRPr="00D46382">
        <w:rPr>
          <w:rFonts w:asciiTheme="majorEastAsia" w:eastAsiaTheme="majorEastAsia" w:hAnsiTheme="majorEastAsia" w:hint="eastAsia"/>
          <w:szCs w:val="21"/>
        </w:rPr>
        <w:t>2015年度上海市教育科学研究重大项目</w:t>
      </w:r>
    </w:p>
    <w:p w:rsidR="00D46382" w:rsidRPr="00D46382" w:rsidRDefault="00D46382" w:rsidP="00D46382">
      <w:pPr>
        <w:spacing w:line="560" w:lineRule="exact"/>
        <w:ind w:firstLineChars="500" w:firstLine="1050"/>
        <w:rPr>
          <w:rFonts w:asciiTheme="majorEastAsia" w:eastAsiaTheme="majorEastAsia" w:hAnsiTheme="majorEastAsia" w:hint="eastAsia"/>
          <w:szCs w:val="21"/>
        </w:rPr>
      </w:pPr>
      <w:r w:rsidRPr="00D46382">
        <w:rPr>
          <w:rFonts w:asciiTheme="majorEastAsia" w:eastAsiaTheme="majorEastAsia" w:hAnsiTheme="majorEastAsia"/>
          <w:szCs w:val="21"/>
        </w:rPr>
        <w:t>2.</w:t>
      </w:r>
      <w:r w:rsidRPr="00D46382">
        <w:rPr>
          <w:rFonts w:asciiTheme="majorEastAsia" w:eastAsiaTheme="majorEastAsia" w:hAnsiTheme="majorEastAsia" w:hint="eastAsia"/>
          <w:szCs w:val="21"/>
        </w:rPr>
        <w:t>2015年度上海市教育科学研究重点项目</w:t>
      </w:r>
    </w:p>
    <w:p w:rsidR="00D46382" w:rsidRPr="00D46382" w:rsidRDefault="00D46382" w:rsidP="00D46382">
      <w:pPr>
        <w:spacing w:line="560" w:lineRule="exact"/>
        <w:ind w:firstLineChars="500" w:firstLine="1050"/>
        <w:rPr>
          <w:rFonts w:asciiTheme="majorEastAsia" w:eastAsiaTheme="majorEastAsia" w:hAnsiTheme="majorEastAsia" w:hint="eastAsia"/>
          <w:szCs w:val="21"/>
        </w:rPr>
      </w:pPr>
      <w:r w:rsidRPr="00D46382">
        <w:rPr>
          <w:rFonts w:asciiTheme="majorEastAsia" w:eastAsiaTheme="majorEastAsia" w:hAnsiTheme="majorEastAsia" w:hint="eastAsia"/>
          <w:szCs w:val="21"/>
        </w:rPr>
        <w:t>3.2015年度上海市教育科学研究市级项目</w:t>
      </w:r>
    </w:p>
    <w:p w:rsidR="00D46382" w:rsidRPr="00D46382" w:rsidRDefault="00D46382" w:rsidP="00D46382">
      <w:pPr>
        <w:spacing w:line="560" w:lineRule="exact"/>
        <w:ind w:firstLineChars="500" w:firstLine="1050"/>
        <w:rPr>
          <w:rFonts w:asciiTheme="majorEastAsia" w:eastAsiaTheme="majorEastAsia" w:hAnsiTheme="majorEastAsia" w:hint="eastAsia"/>
          <w:szCs w:val="21"/>
        </w:rPr>
      </w:pPr>
      <w:r w:rsidRPr="00D46382">
        <w:rPr>
          <w:rFonts w:asciiTheme="majorEastAsia" w:eastAsiaTheme="majorEastAsia" w:hAnsiTheme="majorEastAsia" w:hint="eastAsia"/>
          <w:szCs w:val="21"/>
        </w:rPr>
        <w:lastRenderedPageBreak/>
        <w:t>4.2015年度上海市教育科学研究决策咨询项目</w:t>
      </w:r>
    </w:p>
    <w:p w:rsidR="00D46382" w:rsidRPr="00D46382" w:rsidRDefault="00D46382" w:rsidP="00D46382">
      <w:pPr>
        <w:spacing w:line="560" w:lineRule="exact"/>
        <w:rPr>
          <w:rFonts w:asciiTheme="majorEastAsia" w:eastAsiaTheme="majorEastAsia" w:hAnsiTheme="majorEastAsia" w:hint="eastAsia"/>
          <w:szCs w:val="21"/>
        </w:rPr>
      </w:pPr>
    </w:p>
    <w:p w:rsidR="00D46382" w:rsidRPr="00D46382" w:rsidRDefault="00D46382" w:rsidP="00D46382">
      <w:pPr>
        <w:spacing w:line="560" w:lineRule="exact"/>
        <w:ind w:right="361"/>
        <w:rPr>
          <w:rFonts w:asciiTheme="majorEastAsia" w:eastAsiaTheme="majorEastAsia" w:hAnsiTheme="majorEastAsia" w:hint="eastAsia"/>
          <w:szCs w:val="21"/>
        </w:rPr>
      </w:pPr>
    </w:p>
    <w:p w:rsidR="00D46382" w:rsidRPr="00D46382" w:rsidRDefault="00D46382" w:rsidP="00D46382">
      <w:pPr>
        <w:spacing w:line="560" w:lineRule="exact"/>
        <w:ind w:right="361"/>
        <w:rPr>
          <w:rFonts w:asciiTheme="majorEastAsia" w:eastAsiaTheme="majorEastAsia" w:hAnsiTheme="majorEastAsia" w:hint="eastAsia"/>
          <w:szCs w:val="21"/>
        </w:rPr>
      </w:pPr>
    </w:p>
    <w:p w:rsidR="00D46382" w:rsidRPr="00D46382" w:rsidRDefault="00D46382" w:rsidP="00D46382">
      <w:pPr>
        <w:spacing w:line="560" w:lineRule="exact"/>
        <w:ind w:right="361" w:firstLineChars="1550" w:firstLine="3255"/>
        <w:rPr>
          <w:rFonts w:asciiTheme="majorEastAsia" w:eastAsiaTheme="majorEastAsia" w:hAnsiTheme="majorEastAsia" w:hint="eastAsia"/>
          <w:szCs w:val="21"/>
        </w:rPr>
      </w:pPr>
      <w:r w:rsidRPr="00D46382">
        <w:rPr>
          <w:rFonts w:asciiTheme="majorEastAsia" w:eastAsiaTheme="majorEastAsia" w:hAnsiTheme="majorEastAsia" w:hint="eastAsia"/>
          <w:szCs w:val="21"/>
        </w:rPr>
        <w:t>上 海 市 教 育 委 员 会</w:t>
      </w:r>
    </w:p>
    <w:p w:rsidR="00D46382" w:rsidRPr="00D46382" w:rsidRDefault="00D46382" w:rsidP="00D46382">
      <w:pPr>
        <w:tabs>
          <w:tab w:val="left" w:pos="7380"/>
          <w:tab w:val="left" w:pos="7560"/>
        </w:tabs>
        <w:spacing w:line="560" w:lineRule="exact"/>
        <w:ind w:right="361" w:firstLineChars="1750" w:firstLine="3675"/>
        <w:rPr>
          <w:rFonts w:asciiTheme="majorEastAsia" w:eastAsiaTheme="majorEastAsia" w:hAnsiTheme="majorEastAsia" w:hint="eastAsia"/>
          <w:szCs w:val="21"/>
        </w:rPr>
      </w:pPr>
      <w:r w:rsidRPr="00D46382">
        <w:rPr>
          <w:rFonts w:asciiTheme="majorEastAsia" w:eastAsiaTheme="majorEastAsia" w:hAnsiTheme="majorEastAsia" w:hint="eastAsia"/>
          <w:szCs w:val="21"/>
        </w:rPr>
        <w:t>2015年8月11日</w:t>
      </w:r>
    </w:p>
    <w:p w:rsidR="00D46382" w:rsidRPr="00D46382" w:rsidRDefault="00D46382" w:rsidP="00D46382">
      <w:pPr>
        <w:spacing w:line="560" w:lineRule="exact"/>
        <w:rPr>
          <w:rFonts w:asciiTheme="majorEastAsia" w:eastAsiaTheme="majorEastAsia" w:hAnsiTheme="majorEastAsia" w:hint="eastAsia"/>
          <w:szCs w:val="21"/>
        </w:rPr>
      </w:pPr>
    </w:p>
    <w:p w:rsidR="00D46382" w:rsidRPr="00D46382" w:rsidRDefault="00D46382" w:rsidP="00D46382">
      <w:pPr>
        <w:spacing w:line="560" w:lineRule="exact"/>
        <w:rPr>
          <w:rFonts w:asciiTheme="majorEastAsia" w:eastAsiaTheme="majorEastAsia" w:hAnsiTheme="majorEastAsia" w:hint="eastAsia"/>
          <w:szCs w:val="21"/>
        </w:rPr>
      </w:pPr>
      <w:r w:rsidRPr="00D46382">
        <w:rPr>
          <w:rFonts w:asciiTheme="majorEastAsia" w:eastAsiaTheme="majorEastAsia" w:hAnsiTheme="majorEastAsia" w:hint="eastAsia"/>
          <w:szCs w:val="21"/>
        </w:rPr>
        <w:t>附件1</w:t>
      </w:r>
    </w:p>
    <w:p w:rsidR="00D46382" w:rsidRPr="00D46382" w:rsidRDefault="00D46382" w:rsidP="00D46382">
      <w:pPr>
        <w:spacing w:line="560" w:lineRule="exact"/>
        <w:rPr>
          <w:rFonts w:asciiTheme="majorEastAsia" w:eastAsiaTheme="majorEastAsia" w:hAnsiTheme="majorEastAsia" w:hint="eastAsia"/>
          <w:szCs w:val="21"/>
        </w:rPr>
      </w:pPr>
      <w:r w:rsidRPr="00D46382">
        <w:rPr>
          <w:rFonts w:asciiTheme="majorEastAsia" w:eastAsiaTheme="majorEastAsia" w:hAnsiTheme="majorEastAsia" w:hint="eastAsia"/>
          <w:szCs w:val="21"/>
        </w:rPr>
        <w:t xml:space="preserve">                       2015年度上海市教育科学研究重大项目</w:t>
      </w:r>
    </w:p>
    <w:tbl>
      <w:tblPr>
        <w:tblW w:w="14179" w:type="dxa"/>
        <w:tblInd w:w="-5" w:type="dxa"/>
        <w:tblLook w:val="04A0"/>
      </w:tblPr>
      <w:tblGrid>
        <w:gridCol w:w="964"/>
        <w:gridCol w:w="1276"/>
        <w:gridCol w:w="7371"/>
        <w:gridCol w:w="992"/>
        <w:gridCol w:w="3576"/>
      </w:tblGrid>
      <w:tr w:rsidR="00D46382" w:rsidRPr="00D46382" w:rsidTr="001005AF">
        <w:tc>
          <w:tcPr>
            <w:tcW w:w="964" w:type="dxa"/>
            <w:tcBorders>
              <w:top w:val="single" w:sz="4" w:space="0" w:color="auto"/>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立项编号</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课题名称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承担</w:t>
            </w:r>
            <w:r w:rsidRPr="00D46382">
              <w:rPr>
                <w:rFonts w:asciiTheme="majorEastAsia" w:eastAsiaTheme="majorEastAsia" w:hAnsiTheme="majorEastAsia"/>
                <w:kern w:val="0"/>
                <w:szCs w:val="21"/>
              </w:rPr>
              <w:t>人</w:t>
            </w:r>
          </w:p>
        </w:tc>
        <w:tc>
          <w:tcPr>
            <w:tcW w:w="3576" w:type="dxa"/>
            <w:tcBorders>
              <w:top w:val="single" w:sz="4" w:space="0" w:color="auto"/>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单位</w:t>
            </w:r>
          </w:p>
        </w:tc>
      </w:tr>
      <w:tr w:rsidR="00D46382" w:rsidRPr="00D46382" w:rsidTr="001005AF">
        <w:tc>
          <w:tcPr>
            <w:tcW w:w="964" w:type="dxa"/>
            <w:tcBorders>
              <w:top w:val="single" w:sz="4" w:space="0" w:color="auto"/>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高考改革新形势下高中整体改革研究</w:t>
            </w:r>
          </w:p>
        </w:tc>
        <w:tc>
          <w:tcPr>
            <w:tcW w:w="992" w:type="dxa"/>
            <w:tcBorders>
              <w:top w:val="single" w:sz="4" w:space="0" w:color="auto"/>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朱益明</w:t>
            </w:r>
          </w:p>
        </w:tc>
        <w:tc>
          <w:tcPr>
            <w:tcW w:w="3576" w:type="dxa"/>
            <w:tcBorders>
              <w:top w:val="single" w:sz="4" w:space="0" w:color="auto"/>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华东师范大学</w:t>
            </w:r>
          </w:p>
        </w:tc>
      </w:tr>
      <w:tr w:rsidR="00D46382" w:rsidRPr="00D46382" w:rsidTr="001005AF">
        <w:tc>
          <w:tcPr>
            <w:tcW w:w="964"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2</w:t>
            </w:r>
          </w:p>
        </w:tc>
        <w:tc>
          <w:tcPr>
            <w:tcW w:w="1276"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D1502</w:t>
            </w:r>
          </w:p>
        </w:tc>
        <w:tc>
          <w:tcPr>
            <w:tcW w:w="7371" w:type="dxa"/>
            <w:tcBorders>
              <w:top w:val="nil"/>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3-6</w:t>
            </w:r>
            <w:r w:rsidRPr="00D46382">
              <w:rPr>
                <w:rFonts w:asciiTheme="majorEastAsia" w:eastAsiaTheme="majorEastAsia" w:hAnsiTheme="majorEastAsia" w:hint="eastAsia"/>
                <w:kern w:val="0"/>
                <w:szCs w:val="21"/>
              </w:rPr>
              <w:t>岁幼儿评价的实践研究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江帆</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上海交通大学医学院附属上海儿童医学中心</w:t>
            </w:r>
          </w:p>
        </w:tc>
      </w:tr>
      <w:tr w:rsidR="00D46382" w:rsidRPr="00D46382" w:rsidTr="001005AF">
        <w:tc>
          <w:tcPr>
            <w:tcW w:w="964"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3</w:t>
            </w:r>
          </w:p>
        </w:tc>
        <w:tc>
          <w:tcPr>
            <w:tcW w:w="1276"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D1503</w:t>
            </w:r>
          </w:p>
        </w:tc>
        <w:tc>
          <w:tcPr>
            <w:tcW w:w="7371" w:type="dxa"/>
            <w:tcBorders>
              <w:top w:val="nil"/>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中高职、中职应用本科贯通培养模式研究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陈敏</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上海商学院</w:t>
            </w:r>
          </w:p>
        </w:tc>
      </w:tr>
      <w:tr w:rsidR="00D46382" w:rsidRPr="00D46382" w:rsidTr="001005AF">
        <w:tc>
          <w:tcPr>
            <w:tcW w:w="964"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4</w:t>
            </w:r>
          </w:p>
        </w:tc>
        <w:tc>
          <w:tcPr>
            <w:tcW w:w="1276"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D1504</w:t>
            </w:r>
          </w:p>
        </w:tc>
        <w:tc>
          <w:tcPr>
            <w:tcW w:w="7371" w:type="dxa"/>
            <w:tcBorders>
              <w:top w:val="nil"/>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w:t>
            </w:r>
            <w:r w:rsidRPr="00D46382">
              <w:rPr>
                <w:rFonts w:asciiTheme="majorEastAsia" w:eastAsiaTheme="majorEastAsia" w:hAnsiTheme="majorEastAsia" w:hint="eastAsia"/>
                <w:kern w:val="0"/>
                <w:szCs w:val="21"/>
              </w:rPr>
              <w:t>零起点</w:t>
            </w:r>
            <w:r w:rsidRPr="00D46382">
              <w:rPr>
                <w:rFonts w:asciiTheme="majorEastAsia" w:eastAsiaTheme="majorEastAsia" w:hAnsiTheme="majorEastAsia"/>
                <w:kern w:val="0"/>
                <w:szCs w:val="21"/>
              </w:rPr>
              <w:t>”</w:t>
            </w:r>
            <w:r w:rsidRPr="00D46382">
              <w:rPr>
                <w:rFonts w:asciiTheme="majorEastAsia" w:eastAsiaTheme="majorEastAsia" w:hAnsiTheme="majorEastAsia" w:hint="eastAsia"/>
                <w:kern w:val="0"/>
                <w:szCs w:val="21"/>
              </w:rPr>
              <w:t>政策背景下指向终身发展的儿童学习基础素养的课程与教学培育研</w:t>
            </w:r>
            <w:r w:rsidRPr="00D46382">
              <w:rPr>
                <w:rFonts w:asciiTheme="majorEastAsia" w:eastAsiaTheme="majorEastAsia" w:hAnsiTheme="majorEastAsia" w:hint="eastAsia"/>
                <w:kern w:val="0"/>
                <w:szCs w:val="21"/>
              </w:rPr>
              <w:lastRenderedPageBreak/>
              <w:t>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lastRenderedPageBreak/>
              <w:t>夏雪梅</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r w:rsidR="00D46382" w:rsidRPr="00D46382" w:rsidTr="001005AF">
        <w:tc>
          <w:tcPr>
            <w:tcW w:w="964"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lastRenderedPageBreak/>
              <w:t>5</w:t>
            </w:r>
          </w:p>
        </w:tc>
        <w:tc>
          <w:tcPr>
            <w:tcW w:w="1276"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D1505</w:t>
            </w:r>
          </w:p>
        </w:tc>
        <w:tc>
          <w:tcPr>
            <w:tcW w:w="7371" w:type="dxa"/>
            <w:tcBorders>
              <w:top w:val="nil"/>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上海市属地方院校本科教学工作审核评估研究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李耀刚</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上海市教育评估院</w:t>
            </w:r>
          </w:p>
        </w:tc>
      </w:tr>
      <w:tr w:rsidR="00D46382" w:rsidRPr="00D46382" w:rsidTr="001005AF">
        <w:tc>
          <w:tcPr>
            <w:tcW w:w="964"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6</w:t>
            </w:r>
          </w:p>
        </w:tc>
        <w:tc>
          <w:tcPr>
            <w:tcW w:w="1276"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D1506</w:t>
            </w:r>
          </w:p>
        </w:tc>
        <w:tc>
          <w:tcPr>
            <w:tcW w:w="7371" w:type="dxa"/>
            <w:tcBorders>
              <w:top w:val="nil"/>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上海市中小学数字教材的建设与应用研究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纪明泽</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上海市教委教研室</w:t>
            </w:r>
          </w:p>
        </w:tc>
      </w:tr>
      <w:tr w:rsidR="00D46382" w:rsidRPr="00D46382" w:rsidTr="001005AF">
        <w:tc>
          <w:tcPr>
            <w:tcW w:w="964"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7</w:t>
            </w:r>
          </w:p>
        </w:tc>
        <w:tc>
          <w:tcPr>
            <w:tcW w:w="1276"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D1507</w:t>
            </w:r>
          </w:p>
        </w:tc>
        <w:tc>
          <w:tcPr>
            <w:tcW w:w="7371" w:type="dxa"/>
            <w:tcBorders>
              <w:top w:val="nil"/>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中小学品格教育一体化理论与实践研究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高国希</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复旦大学</w:t>
            </w:r>
          </w:p>
        </w:tc>
      </w:tr>
      <w:tr w:rsidR="00D46382" w:rsidRPr="00D46382" w:rsidTr="001005AF">
        <w:tc>
          <w:tcPr>
            <w:tcW w:w="964" w:type="dxa"/>
            <w:tcBorders>
              <w:top w:val="single" w:sz="4" w:space="0" w:color="auto"/>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中小学数学教材的有效设计</w:t>
            </w:r>
          </w:p>
        </w:tc>
        <w:tc>
          <w:tcPr>
            <w:tcW w:w="992" w:type="dxa"/>
            <w:tcBorders>
              <w:top w:val="single" w:sz="4" w:space="0" w:color="auto"/>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王建磐</w:t>
            </w:r>
          </w:p>
        </w:tc>
        <w:tc>
          <w:tcPr>
            <w:tcW w:w="3576" w:type="dxa"/>
            <w:tcBorders>
              <w:top w:val="single" w:sz="4" w:space="0" w:color="auto"/>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华东师范大学</w:t>
            </w:r>
          </w:p>
        </w:tc>
      </w:tr>
      <w:tr w:rsidR="00D46382" w:rsidRPr="00D46382" w:rsidTr="001005AF">
        <w:tc>
          <w:tcPr>
            <w:tcW w:w="964"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9</w:t>
            </w:r>
          </w:p>
        </w:tc>
        <w:tc>
          <w:tcPr>
            <w:tcW w:w="1276" w:type="dxa"/>
            <w:tcBorders>
              <w:top w:val="nil"/>
              <w:left w:val="single" w:sz="4" w:space="0" w:color="auto"/>
              <w:bottom w:val="single" w:sz="4" w:space="0" w:color="auto"/>
              <w:right w:val="single" w:sz="4" w:space="0" w:color="auto"/>
            </w:tcBorders>
            <w:vAlign w:val="center"/>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D1509</w:t>
            </w:r>
          </w:p>
        </w:tc>
        <w:tc>
          <w:tcPr>
            <w:tcW w:w="7371" w:type="dxa"/>
            <w:tcBorders>
              <w:top w:val="nil"/>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新型高校智库的管理机制和发展路径研究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林尚立</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复旦大学</w:t>
            </w:r>
          </w:p>
        </w:tc>
      </w:tr>
      <w:tr w:rsidR="00D46382" w:rsidRPr="00D46382" w:rsidTr="001005AF">
        <w:tc>
          <w:tcPr>
            <w:tcW w:w="964" w:type="dxa"/>
            <w:tcBorders>
              <w:top w:val="nil"/>
              <w:left w:val="single" w:sz="4" w:space="0" w:color="auto"/>
              <w:right w:val="single" w:sz="4" w:space="0" w:color="auto"/>
            </w:tcBorders>
            <w:vAlign w:val="bottom"/>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10</w:t>
            </w:r>
          </w:p>
        </w:tc>
        <w:tc>
          <w:tcPr>
            <w:tcW w:w="1276" w:type="dxa"/>
            <w:tcBorders>
              <w:top w:val="nil"/>
              <w:left w:val="single" w:sz="4" w:space="0" w:color="auto"/>
              <w:right w:val="single" w:sz="4" w:space="0" w:color="auto"/>
            </w:tcBorders>
            <w:vAlign w:val="bottom"/>
          </w:tcPr>
          <w:p w:rsidR="00D46382" w:rsidRPr="00D46382" w:rsidRDefault="00D46382" w:rsidP="001005AF">
            <w:pPr>
              <w:widowControl/>
              <w:spacing w:line="460" w:lineRule="exact"/>
              <w:jc w:val="center"/>
              <w:rPr>
                <w:rFonts w:asciiTheme="majorEastAsia" w:eastAsiaTheme="majorEastAsia" w:hAnsiTheme="majorEastAsia" w:hint="eastAsia"/>
                <w:kern w:val="0"/>
                <w:szCs w:val="21"/>
              </w:rPr>
            </w:pPr>
            <w:r w:rsidRPr="00D46382">
              <w:rPr>
                <w:rFonts w:asciiTheme="majorEastAsia" w:eastAsiaTheme="majorEastAsia" w:hAnsiTheme="majorEastAsia" w:hint="eastAsia"/>
                <w:kern w:val="0"/>
                <w:szCs w:val="21"/>
              </w:rPr>
              <w:t>D1510</w:t>
            </w:r>
          </w:p>
        </w:tc>
        <w:tc>
          <w:tcPr>
            <w:tcW w:w="7371" w:type="dxa"/>
            <w:vMerge w:val="restart"/>
            <w:tcBorders>
              <w:top w:val="nil"/>
              <w:left w:val="single" w:sz="4" w:space="0" w:color="auto"/>
              <w:right w:val="single" w:sz="4" w:space="0" w:color="auto"/>
            </w:tcBorders>
            <w:shd w:val="clear" w:color="auto" w:fill="auto"/>
            <w:vAlign w:val="center"/>
          </w:tcPr>
          <w:p w:rsidR="00D46382" w:rsidRPr="00D46382" w:rsidRDefault="00D46382" w:rsidP="001005AF">
            <w:pPr>
              <w:widowControl/>
              <w:spacing w:line="460" w:lineRule="exac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基于大中衔接的大学语文课程体系研究</w:t>
            </w: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谭帆</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上海市语言文字水平测试中心</w:t>
            </w:r>
          </w:p>
        </w:tc>
      </w:tr>
      <w:tr w:rsidR="00D46382" w:rsidRPr="00D46382" w:rsidTr="001005AF">
        <w:tc>
          <w:tcPr>
            <w:tcW w:w="964" w:type="dxa"/>
            <w:tcBorders>
              <w:left w:val="single" w:sz="4" w:space="0" w:color="auto"/>
              <w:bottom w:val="single" w:sz="4" w:space="0" w:color="auto"/>
              <w:right w:val="single" w:sz="4" w:space="0" w:color="auto"/>
            </w:tcBorders>
            <w:vAlign w:val="bottom"/>
          </w:tcPr>
          <w:p w:rsidR="00D46382" w:rsidRPr="00D46382" w:rsidRDefault="00D46382" w:rsidP="001005AF">
            <w:pPr>
              <w:widowControl/>
              <w:spacing w:line="460" w:lineRule="exact"/>
              <w:jc w:val="center"/>
              <w:rPr>
                <w:rFonts w:asciiTheme="majorEastAsia" w:eastAsiaTheme="majorEastAsia" w:hAnsiTheme="majorEastAsia"/>
                <w:kern w:val="0"/>
                <w:szCs w:val="21"/>
              </w:rPr>
            </w:pPr>
          </w:p>
        </w:tc>
        <w:tc>
          <w:tcPr>
            <w:tcW w:w="1276" w:type="dxa"/>
            <w:tcBorders>
              <w:left w:val="single" w:sz="4" w:space="0" w:color="auto"/>
              <w:bottom w:val="single" w:sz="4" w:space="0" w:color="auto"/>
              <w:right w:val="single" w:sz="4" w:space="0" w:color="auto"/>
            </w:tcBorders>
            <w:vAlign w:val="bottom"/>
          </w:tcPr>
          <w:p w:rsidR="00D46382" w:rsidRPr="00D46382" w:rsidRDefault="00D46382" w:rsidP="001005AF">
            <w:pPr>
              <w:widowControl/>
              <w:spacing w:line="460" w:lineRule="exact"/>
              <w:jc w:val="center"/>
              <w:rPr>
                <w:rFonts w:asciiTheme="majorEastAsia" w:eastAsiaTheme="majorEastAsia" w:hAnsiTheme="majorEastAsia"/>
                <w:kern w:val="0"/>
                <w:szCs w:val="21"/>
              </w:rPr>
            </w:pPr>
          </w:p>
        </w:tc>
        <w:tc>
          <w:tcPr>
            <w:tcW w:w="7371" w:type="dxa"/>
            <w:vMerge/>
            <w:tcBorders>
              <w:left w:val="single" w:sz="4" w:space="0" w:color="auto"/>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left"/>
              <w:rPr>
                <w:rFonts w:asciiTheme="majorEastAsia" w:eastAsiaTheme="majorEastAsia" w:hAnsiTheme="majorEastAsia"/>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吴强</w:t>
            </w:r>
          </w:p>
        </w:tc>
        <w:tc>
          <w:tcPr>
            <w:tcW w:w="3576" w:type="dxa"/>
            <w:tcBorders>
              <w:top w:val="nil"/>
              <w:left w:val="nil"/>
              <w:bottom w:val="single" w:sz="4" w:space="0" w:color="auto"/>
              <w:right w:val="single" w:sz="4" w:space="0" w:color="auto"/>
            </w:tcBorders>
            <w:shd w:val="clear" w:color="auto" w:fill="auto"/>
            <w:vAlign w:val="center"/>
          </w:tcPr>
          <w:p w:rsidR="00D46382" w:rsidRPr="00D46382" w:rsidRDefault="00D46382" w:rsidP="001005AF">
            <w:pPr>
              <w:widowControl/>
              <w:spacing w:line="460" w:lineRule="exact"/>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bl>
    <w:p w:rsidR="00D46382" w:rsidRPr="00D46382" w:rsidRDefault="00D46382" w:rsidP="00D46382">
      <w:pPr>
        <w:spacing w:line="560" w:lineRule="exact"/>
        <w:rPr>
          <w:rFonts w:asciiTheme="majorEastAsia" w:eastAsiaTheme="majorEastAsia" w:hAnsiTheme="majorEastAsia"/>
          <w:szCs w:val="21"/>
        </w:rPr>
        <w:sectPr w:rsidR="00D46382" w:rsidRPr="00D46382" w:rsidSect="00DB78F7">
          <w:pgSz w:w="16838" w:h="11906" w:orient="landscape"/>
          <w:pgMar w:top="1797" w:right="1440" w:bottom="1797" w:left="1440" w:header="851" w:footer="992" w:gutter="0"/>
          <w:cols w:space="425"/>
          <w:docGrid w:linePitch="312"/>
        </w:sectPr>
      </w:pPr>
    </w:p>
    <w:p w:rsidR="00D46382" w:rsidRPr="00D46382" w:rsidRDefault="00D46382" w:rsidP="00D46382">
      <w:pPr>
        <w:spacing w:line="560" w:lineRule="exact"/>
        <w:rPr>
          <w:rFonts w:asciiTheme="majorEastAsia" w:eastAsiaTheme="majorEastAsia" w:hAnsiTheme="majorEastAsia" w:hint="eastAsia"/>
          <w:szCs w:val="21"/>
        </w:rPr>
      </w:pPr>
      <w:r w:rsidRPr="00D46382">
        <w:rPr>
          <w:rFonts w:asciiTheme="majorEastAsia" w:eastAsiaTheme="majorEastAsia" w:hAnsiTheme="majorEastAsia" w:hint="eastAsia"/>
          <w:szCs w:val="21"/>
        </w:rPr>
        <w:lastRenderedPageBreak/>
        <w:t>附件2</w:t>
      </w:r>
    </w:p>
    <w:p w:rsidR="00D46382" w:rsidRPr="00D46382" w:rsidRDefault="00D46382" w:rsidP="00D46382">
      <w:pPr>
        <w:spacing w:line="560" w:lineRule="exact"/>
        <w:ind w:leftChars="-67" w:left="-63" w:hangingChars="37" w:hanging="78"/>
        <w:jc w:val="center"/>
        <w:rPr>
          <w:rFonts w:asciiTheme="majorEastAsia" w:eastAsiaTheme="majorEastAsia" w:hAnsiTheme="majorEastAsia" w:hint="eastAsia"/>
          <w:szCs w:val="21"/>
        </w:rPr>
      </w:pPr>
      <w:r w:rsidRPr="00D46382">
        <w:rPr>
          <w:rFonts w:asciiTheme="majorEastAsia" w:eastAsiaTheme="majorEastAsia" w:hAnsiTheme="majorEastAsia" w:hint="eastAsia"/>
          <w:szCs w:val="21"/>
        </w:rPr>
        <w:t>2015年度上海市教育科学研究重点项目</w:t>
      </w:r>
    </w:p>
    <w:tbl>
      <w:tblPr>
        <w:tblW w:w="13414" w:type="dxa"/>
        <w:jc w:val="center"/>
        <w:tblInd w:w="-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1417"/>
        <w:gridCol w:w="7152"/>
        <w:gridCol w:w="1008"/>
        <w:gridCol w:w="2755"/>
      </w:tblGrid>
      <w:tr w:rsidR="00D46382" w:rsidRPr="00D46382" w:rsidTr="001005AF">
        <w:trPr>
          <w:trHeight w:val="574"/>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序号</w:t>
            </w:r>
          </w:p>
        </w:tc>
        <w:tc>
          <w:tcPr>
            <w:tcW w:w="1417" w:type="dxa"/>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立项编号</w:t>
            </w:r>
          </w:p>
        </w:tc>
        <w:tc>
          <w:tcPr>
            <w:tcW w:w="7152"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项目名称</w:t>
            </w:r>
          </w:p>
        </w:tc>
        <w:tc>
          <w:tcPr>
            <w:tcW w:w="1008"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申请人</w:t>
            </w:r>
          </w:p>
        </w:tc>
        <w:tc>
          <w:tcPr>
            <w:tcW w:w="2755"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申报人所在</w:t>
            </w:r>
            <w:r w:rsidRPr="00D46382">
              <w:rPr>
                <w:rFonts w:asciiTheme="majorEastAsia" w:eastAsiaTheme="majorEastAsia" w:hAnsiTheme="majorEastAsia"/>
                <w:b/>
                <w:bCs/>
                <w:kern w:val="0"/>
                <w:szCs w:val="21"/>
              </w:rPr>
              <w:t>单位</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1</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A1501</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市属高校本科教学工作审核评估的理论研究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高桂娟</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同济大学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2</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A1502</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中小学体育渗透和落实“立德树人”的理论和实践问题研究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熊文</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华东师范大学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3</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A1503</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hint="eastAsia"/>
                <w:kern w:val="0"/>
                <w:szCs w:val="21"/>
              </w:rPr>
            </w:pPr>
            <w:r w:rsidRPr="00D46382">
              <w:rPr>
                <w:rFonts w:asciiTheme="majorEastAsia" w:eastAsiaTheme="majorEastAsia" w:hAnsiTheme="majorEastAsia"/>
                <w:kern w:val="0"/>
                <w:szCs w:val="21"/>
              </w:rPr>
              <w:t>3-6岁幼儿评价的实践研究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高敬</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上海师范大学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4</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A1504</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上海集团化办学的政策设计与路径选择</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刘莉莉</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华东师范大学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5</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A1505</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基于现代学徒制的中高职贯通模式研究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张文杰</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上海工会管理职业学院</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6</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A1506</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拓展终身学习渠道，建设学习型城市—MOOC教改的理论与实践研究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章雅青</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上海交通大学医学院</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7</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A1507</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构建上海市医疗急救人员资格框架的体制机制研究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唐红梅</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上海医药高等专科学校</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8</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A1508</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提升“中国声音”和“上海声音”——新型高校智库的社会影响力评估</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吴瑛</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上海外国语大学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9</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A1509</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面向需求的新型科研组织形态的创新研究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谈毅</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上海交通大学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10</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A1510</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上海高校财政资金支持的科研项目管理政策改进研究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朱云欢</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上海外国语大学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11</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A1511</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基于大中衔接视角的一般理工类高校大学语文课程建设研究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花艳红</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上海工程技术大学</w:t>
            </w:r>
          </w:p>
        </w:tc>
      </w:tr>
      <w:tr w:rsidR="00D46382" w:rsidRPr="00D46382" w:rsidTr="001005AF">
        <w:trPr>
          <w:trHeight w:val="498"/>
          <w:jc w:val="center"/>
        </w:trPr>
        <w:tc>
          <w:tcPr>
            <w:tcW w:w="1082" w:type="dxa"/>
            <w:shd w:val="clear" w:color="auto" w:fill="auto"/>
            <w:noWrap/>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12</w:t>
            </w:r>
          </w:p>
        </w:tc>
        <w:tc>
          <w:tcPr>
            <w:tcW w:w="141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A1512</w:t>
            </w:r>
          </w:p>
        </w:tc>
        <w:tc>
          <w:tcPr>
            <w:tcW w:w="7152"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kern w:val="0"/>
                <w:szCs w:val="21"/>
              </w:rPr>
              <w:t>上海市中小学教学关键要素研究</w:t>
            </w:r>
          </w:p>
        </w:tc>
        <w:tc>
          <w:tcPr>
            <w:tcW w:w="1008"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王小明</w:t>
            </w:r>
          </w:p>
        </w:tc>
        <w:tc>
          <w:tcPr>
            <w:tcW w:w="2755"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kern w:val="0"/>
                <w:szCs w:val="21"/>
              </w:rPr>
              <w:t>华东师范大学</w:t>
            </w:r>
          </w:p>
        </w:tc>
      </w:tr>
    </w:tbl>
    <w:p w:rsidR="00D46382" w:rsidRPr="00D46382" w:rsidRDefault="00D46382" w:rsidP="00D46382">
      <w:pPr>
        <w:spacing w:line="560" w:lineRule="exact"/>
        <w:rPr>
          <w:rFonts w:asciiTheme="majorEastAsia" w:eastAsiaTheme="majorEastAsia" w:hAnsiTheme="majorEastAsia"/>
          <w:szCs w:val="21"/>
        </w:rPr>
        <w:sectPr w:rsidR="00D46382" w:rsidRPr="00D46382" w:rsidSect="00506B0C">
          <w:pgSz w:w="16838" w:h="11906" w:orient="landscape" w:code="9"/>
          <w:pgMar w:top="1520" w:right="2098" w:bottom="1508" w:left="1712" w:header="851" w:footer="1418" w:gutter="57"/>
          <w:cols w:space="425"/>
          <w:docGrid w:type="linesAndChars" w:linePitch="312"/>
        </w:sectPr>
      </w:pPr>
    </w:p>
    <w:p w:rsidR="00D46382" w:rsidRPr="00D46382" w:rsidRDefault="00D46382" w:rsidP="00D46382">
      <w:pPr>
        <w:spacing w:line="560" w:lineRule="exact"/>
        <w:rPr>
          <w:rFonts w:asciiTheme="majorEastAsia" w:eastAsiaTheme="majorEastAsia" w:hAnsiTheme="majorEastAsia" w:hint="eastAsia"/>
          <w:szCs w:val="21"/>
        </w:rPr>
      </w:pPr>
      <w:r w:rsidRPr="00D46382">
        <w:rPr>
          <w:rFonts w:asciiTheme="majorEastAsia" w:eastAsiaTheme="majorEastAsia" w:hAnsiTheme="majorEastAsia" w:hint="eastAsia"/>
          <w:szCs w:val="21"/>
        </w:rPr>
        <w:lastRenderedPageBreak/>
        <w:t>附件3</w:t>
      </w:r>
    </w:p>
    <w:p w:rsidR="00D46382" w:rsidRPr="00D46382" w:rsidRDefault="00D46382" w:rsidP="00D46382">
      <w:pPr>
        <w:spacing w:line="560" w:lineRule="exact"/>
        <w:ind w:rightChars="203" w:right="426"/>
        <w:jc w:val="left"/>
        <w:rPr>
          <w:rFonts w:asciiTheme="majorEastAsia" w:eastAsiaTheme="majorEastAsia" w:hAnsiTheme="majorEastAsia" w:hint="eastAsia"/>
          <w:szCs w:val="21"/>
        </w:rPr>
      </w:pPr>
      <w:r w:rsidRPr="00D46382">
        <w:rPr>
          <w:rFonts w:asciiTheme="majorEastAsia" w:eastAsiaTheme="majorEastAsia" w:hAnsiTheme="majorEastAsia" w:hint="eastAsia"/>
          <w:szCs w:val="21"/>
        </w:rPr>
        <w:t xml:space="preserve">                     2015年度上海市教育科学研究市级项目</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6662"/>
        <w:gridCol w:w="1134"/>
        <w:gridCol w:w="3544"/>
      </w:tblGrid>
      <w:tr w:rsidR="00D46382" w:rsidRPr="00D46382" w:rsidTr="001005AF">
        <w:trPr>
          <w:trHeight w:val="577"/>
        </w:trPr>
        <w:tc>
          <w:tcPr>
            <w:tcW w:w="675"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序号</w:t>
            </w:r>
          </w:p>
        </w:tc>
        <w:tc>
          <w:tcPr>
            <w:tcW w:w="1276" w:type="dxa"/>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立项编号</w:t>
            </w:r>
          </w:p>
        </w:tc>
        <w:tc>
          <w:tcPr>
            <w:tcW w:w="6662"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项目</w:t>
            </w:r>
            <w:r w:rsidRPr="00D46382">
              <w:rPr>
                <w:rFonts w:asciiTheme="majorEastAsia" w:eastAsiaTheme="majorEastAsia" w:hAnsiTheme="majorEastAsia"/>
                <w:b/>
                <w:bCs/>
                <w:kern w:val="0"/>
                <w:szCs w:val="21"/>
              </w:rPr>
              <w:t>名称</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申报人所在单位</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构建本土积极家教支持系统的探索性研究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宁夏</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中国福利会宋庆龄儿童发展中心</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社会转型背景下基于微信平台促进家校深度合作的校本实践</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王家龙</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宝山区宝虹小学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基于数据挖掘的幼儿教师需求调研与培训课程改进</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黄开宇</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青浦区教师进修学院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基于《上海市辅读学校实用语文课程指导纲要》的语文教材研发</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吴筱雅</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宝山区培智学校</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运用反思性对话提升幼儿园教师教学智慧的案例研究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吴晓芬</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黄浦区教育学院</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当代高中生媒介素养培育的实践研究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阮为</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上海市同济大学第一附属中学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家庭参与早教指导课程拓展的实践研究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吴玲玲</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中国福利会托儿所</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社会主义核心价值观教育背景下培养少先队员道德思维的课程开发与研究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戴宏娟</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奉贤区教师进修学院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C15009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传统文化视角下幼儿园“品性养成”课程构建</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俞文</w:t>
            </w:r>
            <w:r w:rsidRPr="00D46382">
              <w:rPr>
                <w:rFonts w:asciiTheme="majorEastAsia" w:eastAsiaTheme="majorEastAsia" w:hAnsiTheme="majorEastAsia" w:cs="微软雅黑" w:hint="eastAsia"/>
                <w:bCs/>
                <w:kern w:val="0"/>
                <w:szCs w:val="21"/>
              </w:rPr>
              <w:t>珺</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普陀区豪园幼儿园</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幼儿园“书香”特色课程的研究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吴丹</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华东师范大学附属幼儿园</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关键教学事件现场研析模式与经验教师蜕变式发展的研究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周金玉</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宝山区教师进修学院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幼儿“生存”课程的再构研究-基于“零起点”教育视野的实践探索</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凤炜</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中国福利会幼儿园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中小学班主任促进学生个性化发展的现状调查与改进对策研究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秦蓁</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静安区教育学院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普通小学随班就读学生“双环融合”学习模式建构的实践研究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丁霞</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虹口区张桥路小学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基于计算思维优化Scratch科艺创作活动的行动研究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徐嫣琼</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上海市格致初级中学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校外教育视角下的上海外来随迁子女教育问题研究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周建中</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中国福利会少年宫</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发展性障碍者个别化职业陶冶教育支持计划研究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沈立</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长宁区初级职业技术学校</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spacing w:val="-10"/>
                <w:kern w:val="0"/>
                <w:szCs w:val="21"/>
              </w:rPr>
            </w:pPr>
            <w:r w:rsidRPr="00D46382">
              <w:rPr>
                <w:rFonts w:asciiTheme="majorEastAsia" w:eastAsiaTheme="majorEastAsia" w:hAnsiTheme="majorEastAsia" w:hint="eastAsia"/>
                <w:bCs/>
                <w:spacing w:val="-10"/>
                <w:kern w:val="0"/>
                <w:szCs w:val="21"/>
              </w:rPr>
              <w:t>课堂教学提升学科育人价值的行动研究——以“校际共同体”的研究为例</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张爱国</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上海市松江区三新学校</w:t>
            </w:r>
          </w:p>
        </w:tc>
      </w:tr>
      <w:tr w:rsidR="00D46382" w:rsidRPr="00D46382" w:rsidTr="001005AF">
        <w:trPr>
          <w:trHeight w:val="420"/>
        </w:trPr>
        <w:tc>
          <w:tcPr>
            <w:tcW w:w="675"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lastRenderedPageBreak/>
              <w:t>序号</w:t>
            </w:r>
          </w:p>
        </w:tc>
        <w:tc>
          <w:tcPr>
            <w:tcW w:w="1276" w:type="dxa"/>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立项编号</w:t>
            </w:r>
          </w:p>
        </w:tc>
        <w:tc>
          <w:tcPr>
            <w:tcW w:w="6662"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项目</w:t>
            </w:r>
            <w:r w:rsidRPr="00D46382">
              <w:rPr>
                <w:rFonts w:asciiTheme="majorEastAsia" w:eastAsiaTheme="majorEastAsia" w:hAnsiTheme="majorEastAsia"/>
                <w:b/>
                <w:bCs/>
                <w:kern w:val="0"/>
                <w:szCs w:val="21"/>
              </w:rPr>
              <w:t>名称</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申报人所在单位</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C15019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上海教育领域政府和社会资本合作模式实现机制研究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刘荣飞</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上海市教育科学研究院</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构建资格框架的体制机制研究——基于国际比较的视角</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杨琳</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上海市教育科学研究院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基于“海洋文化教育课程”的特色高中建设的研究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董永华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上海海洋大学附属大团高级中学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基于课程标准的课堂教学自我诊断与改进研究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朱晓薇</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上海市尚文中学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基于生活教育的农村九年一贯制学校“五小”学生培育研究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顾晓华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上海市崇明县三乐学校</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区域九年一贯制学校契约型伙伴合作式联合办学的行动研究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孙玮敏</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上海市恒丰中学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诉求与回应：幼儿园职初教师心理资本开发的实践研究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赵云花</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金山区教育学院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幼儿亲社会行为培养中“新小先生制”活动的实践研究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韩英</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宝山区小天鹅幼儿园</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构建DIY学园，提升高中生自主学习能力的实践研究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徐国梁</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上海市莘庄中学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幼儿园混龄活动中幼儿社会性品质培养的实践研究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袁萍</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徐汇区梅陇幼儿园</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C15029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小学英语教学中运用“自我提问学习单”进行学生元认知训练的实践研究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李芳菲</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上海师范大学附属卢湾实验小学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基于高中学生语文学习障碍点突破的个人学习环境建构的研究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唐秋明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上海市吴淞中学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乡村学校开展“赏·玩”教育促进学生个性发展的实践研究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沈军</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上海市钱圩中学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自闭症儿童的区域性教育干预研究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杨杰</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普陀区教育学院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汽车检测与维修专业中高职专业课程贯通与资源共享的实践与研究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端木为迟</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上海市南湖职业学校第二分校</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基于课堂学习目标的学情分析行动研究——以作业结果分析为研究视角</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黄自敏</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松江区教师进修学院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高中化学教材实验设计的国际比较与应用研究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卫泽敏</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上海市奉贤中学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小学靶向作业设计与反馈的实践研究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任佩钧</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静安区静安实验小学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小学生“数与运算”结构化认知的教学实践研究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卢洁</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浦东新区明珠小学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高中历史史料教学的实践研究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宗莉琳</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上海市华东政法大学附属中学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C15039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基于创新素养培育的小学校本课程群建设研究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李川</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徐汇区逸夫小学</w:t>
            </w:r>
          </w:p>
        </w:tc>
      </w:tr>
      <w:tr w:rsidR="00D46382" w:rsidRPr="00D46382" w:rsidTr="001005AF">
        <w:trPr>
          <w:trHeight w:val="562"/>
        </w:trPr>
        <w:tc>
          <w:tcPr>
            <w:tcW w:w="675"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lastRenderedPageBreak/>
              <w:t>序号</w:t>
            </w:r>
          </w:p>
        </w:tc>
        <w:tc>
          <w:tcPr>
            <w:tcW w:w="1276" w:type="dxa"/>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立项编号</w:t>
            </w:r>
          </w:p>
        </w:tc>
        <w:tc>
          <w:tcPr>
            <w:tcW w:w="6662"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项目</w:t>
            </w:r>
            <w:r w:rsidRPr="00D46382">
              <w:rPr>
                <w:rFonts w:asciiTheme="majorEastAsia" w:eastAsiaTheme="majorEastAsia" w:hAnsiTheme="majorEastAsia"/>
                <w:b/>
                <w:bCs/>
                <w:kern w:val="0"/>
                <w:szCs w:val="21"/>
              </w:rPr>
              <w:t>名称</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申报人所在单位</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40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提升小学生非连续性文本阅读能力的实践研究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何哲慧</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奉贤区教师进修学院附属实验小学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41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协同进化视域下，民办高中美术特色课程群建构的行动研究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陶永林</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上海市闵行区教育学院附属中学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42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中小学生思想品德评价一体化实践研究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王彤</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徐汇区教育局</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43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基于体验的幼儿园生命教育活动范式研究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余海玲</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嘉定区安亭幼儿园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44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上海与美国加州高等教育运行环境的比较研究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杜瑛</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上海市教育科学研究院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45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幼儿学习品质表现性特征与优化的实证研究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张燕</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浦东新区锦绣博文幼儿园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46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小学“父母效能训练”课程的开发与实施</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毛燕菁</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浦东新区育童小学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47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基于幼儿学习需求的“我的课程”的规划与实施研究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陆晔</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嘉定区实验幼儿园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48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构建“尊重与关怀”德育体验活动系列的实践研究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郑菊兰</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w:t>
            </w:r>
            <w:smartTag w:uri="urn:schemas-microsoft-com:office:smarttags" w:element="PersonName">
              <w:smartTagPr>
                <w:attr w:name="ProductID" w:val="闵行区"/>
              </w:smartTagPr>
              <w:r w:rsidRPr="00D46382">
                <w:rPr>
                  <w:rFonts w:asciiTheme="majorEastAsia" w:eastAsiaTheme="majorEastAsia" w:hAnsiTheme="majorEastAsia"/>
                  <w:bCs/>
                  <w:kern w:val="0"/>
                  <w:szCs w:val="21"/>
                </w:rPr>
                <w:t>闵行区</w:t>
              </w:r>
            </w:smartTag>
            <w:r w:rsidRPr="00D46382">
              <w:rPr>
                <w:rFonts w:asciiTheme="majorEastAsia" w:eastAsiaTheme="majorEastAsia" w:hAnsiTheme="majorEastAsia"/>
                <w:bCs/>
                <w:kern w:val="0"/>
                <w:szCs w:val="21"/>
              </w:rPr>
              <w:t>君莲学校</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49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C15049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基于网络平台中学生个性化成长评价的行动研究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周筠</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上海市</w:t>
            </w:r>
            <w:r w:rsidRPr="00D46382">
              <w:rPr>
                <w:rFonts w:asciiTheme="majorEastAsia" w:eastAsiaTheme="majorEastAsia" w:hAnsiTheme="majorEastAsia"/>
                <w:bCs/>
                <w:kern w:val="0"/>
                <w:szCs w:val="21"/>
              </w:rPr>
              <w:t>同济大学附属七一中学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3～6岁幼儿科学素养发展评价的实践研究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沈冠华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浦东新区蒲公英幼儿园</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“统整式”学校课程的整体架构与系统实施</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朱勤</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黄浦区海华小学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以教师角色行为评价促进生本课堂常态化的研究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马俊</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上海市通河中学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基于幼儿园个别化活动，培养儿童基础高阶能力的实践研究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顾伟毅</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虹口区实验幼儿园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以中草药课程建设为切入点促进初中生中华传统文化教育的实践研究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张晓明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上海市同济初级中学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上海职业教育国际水平专业教学标准实施的调查和对策研究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凌航</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上海电子工业学校</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基于现象学描述的幼儿教师观察行为优化的研究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崔云</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嘉定区教师进修学院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普特半日融合活动中提高智障学生社会适应能力的研究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张朝晖</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上海市金山区辅读学校</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构建班主任校本研修区域支持系统的实践研究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罗宇锋</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长宁区教育学院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59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C15059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促进幼儿健康情感发展的故事表演课程建构的实践研究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卜维霞</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宝山区康桥水都幼儿园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基于MOODLE平台的师训课程开发的协同研究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祝庆东</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普陀区教育学院</w:t>
            </w:r>
          </w:p>
        </w:tc>
      </w:tr>
      <w:tr w:rsidR="00D46382" w:rsidRPr="00D46382" w:rsidTr="001005AF">
        <w:trPr>
          <w:trHeight w:val="562"/>
        </w:trPr>
        <w:tc>
          <w:tcPr>
            <w:tcW w:w="675"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lastRenderedPageBreak/>
              <w:t>序号</w:t>
            </w:r>
          </w:p>
        </w:tc>
        <w:tc>
          <w:tcPr>
            <w:tcW w:w="1276" w:type="dxa"/>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立项编号</w:t>
            </w:r>
          </w:p>
        </w:tc>
        <w:tc>
          <w:tcPr>
            <w:tcW w:w="6662"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项目</w:t>
            </w:r>
            <w:r w:rsidRPr="00D46382">
              <w:rPr>
                <w:rFonts w:asciiTheme="majorEastAsia" w:eastAsiaTheme="majorEastAsia" w:hAnsiTheme="majorEastAsia"/>
                <w:b/>
                <w:bCs/>
                <w:kern w:val="0"/>
                <w:szCs w:val="21"/>
              </w:rPr>
              <w:t>名称</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申报人所在单位</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多彩表演中促进幼儿创意表达表现能力的实践研究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杨静霞</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闵行区虹鹿幼儿园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农村小学“独生父母”家庭教育指导的实践研究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顾惠娟</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崇明县东门小学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基于学生生涯发展指导的综合素质评价设计与实施研究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盛雅萍</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上海市大同中学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和谐教育理念下促进小学生综合素养培育的长效机制研究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孟水莲</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长宁区江苏路第五小学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基于CLASS诊断性评价的职初教师课堂互动能力的研究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金慧频</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闵行区教育学院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幼儿园快乐营养餐点的实践研究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黄颖岚</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黄浦区好小囡幼儿园</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回归本原：基于愉悦性的幼儿园游戏的研究与实践</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杨立群</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虹口区第三中心幼儿园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校本课程完善中促进小公民素养个性化养成的实践研究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张敏</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静安区第一中心小学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69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C15069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“提篮桥文化”德育校本课程的开发与实践研究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吕晔</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上海市霍山学校</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经典奠基精神成长：小学生经典诵读课程建设、实施与评价的研究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秦英</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青浦区逸夫小学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绿色指标引领下提升教师育德能力的实践研究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魏澜</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上海市浦东模范中学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小学艺体“动手创”课程的开发与实践</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冯征峥</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浦东新区</w:t>
            </w:r>
            <w:r w:rsidRPr="00D46382">
              <w:rPr>
                <w:rFonts w:asciiTheme="majorEastAsia" w:eastAsiaTheme="majorEastAsia" w:hAnsiTheme="majorEastAsia"/>
                <w:bCs/>
                <w:kern w:val="0"/>
                <w:szCs w:val="21"/>
              </w:rPr>
              <w:t>世博家园实验小学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初中生艺术学习多元评价的行动研究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王世明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上海市复旦初级中学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同伴教育活动在初中生人际交往中的应用及效果研究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王瑷</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上海市兴业中学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“新城教育联盟体”学校新教师成长的实践与研究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薛晨红</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奉贤区青溪中学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激活校史资源，推进小学生中华优秀传统文化教育的行动研究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朱湘艳</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奉贤区奉城第一小学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走向个性化：校外活动课程开发、实施的研究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冯景华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静安区青少年活动中心</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区域推动校本培训，促进教师“优质学习“的实践研究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徐莉浩</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奉贤区教师进修学院</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79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C15079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互动共生：“关怀-创新”型教师文化培育的机制研究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朱乃楣</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普陀区洵阳路小学</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依法治国视野下的民办学校治理问题研究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谢锡美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上海市教育科学研究院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基于“J课堂”教学的学习分析的行动研究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王春花</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普陀区教育学院附属学校</w:t>
            </w:r>
          </w:p>
        </w:tc>
      </w:tr>
      <w:tr w:rsidR="00D46382" w:rsidRPr="00D46382" w:rsidTr="001005AF">
        <w:trPr>
          <w:trHeight w:val="420"/>
        </w:trPr>
        <w:tc>
          <w:tcPr>
            <w:tcW w:w="675"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序号</w:t>
            </w:r>
          </w:p>
        </w:tc>
        <w:tc>
          <w:tcPr>
            <w:tcW w:w="1276" w:type="dxa"/>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立项编号</w:t>
            </w:r>
          </w:p>
        </w:tc>
        <w:tc>
          <w:tcPr>
            <w:tcW w:w="6662"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项目</w:t>
            </w:r>
            <w:r w:rsidRPr="00D46382">
              <w:rPr>
                <w:rFonts w:asciiTheme="majorEastAsia" w:eastAsiaTheme="majorEastAsia" w:hAnsiTheme="majorEastAsia"/>
                <w:b/>
                <w:bCs/>
                <w:kern w:val="0"/>
                <w:szCs w:val="21"/>
              </w:rPr>
              <w:t>名称</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申报人所在单位</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lastRenderedPageBreak/>
              <w:t>82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基于SPARK理念的幼儿园运动特色园本课程的开发与实践研究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曹雯</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宝山区小海螺幼儿园</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“生活小能手”家园共育课程建构与实践的研究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李秋芳</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宝山区沙浦路幼儿园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混合所有制办学的制度设计与政策研究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王歆妙</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上海市教育科学研究院</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基于数字化的区域学校绩效评价的实践研究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何曙光</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闵行区教育测评与研究中心</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组建课程研究联盟深化园本课程建设的实践研究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竺清</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浦东新区教育局第一教育署</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“1﹢</w:t>
            </w:r>
            <w:smartTag w:uri="urn:schemas-microsoft-com:office:smarttags" w:element="chmetcnv">
              <w:smartTagPr>
                <w:attr w:name="TCSC" w:val="0"/>
                <w:attr w:name="NumberType" w:val="1"/>
                <w:attr w:name="Negative" w:val="False"/>
                <w:attr w:name="HasSpace" w:val="False"/>
                <w:attr w:name="SourceValue" w:val="3"/>
                <w:attr w:name="UnitName" w:val="”"/>
              </w:smartTagPr>
              <w:r w:rsidRPr="00D46382">
                <w:rPr>
                  <w:rFonts w:asciiTheme="majorEastAsia" w:eastAsiaTheme="majorEastAsia" w:hAnsiTheme="majorEastAsia"/>
                  <w:bCs/>
                  <w:kern w:val="0"/>
                  <w:szCs w:val="21"/>
                </w:rPr>
                <w:t>3”</w:t>
              </w:r>
            </w:smartTag>
            <w:r w:rsidRPr="00D46382">
              <w:rPr>
                <w:rFonts w:asciiTheme="majorEastAsia" w:eastAsiaTheme="majorEastAsia" w:hAnsiTheme="majorEastAsia"/>
                <w:bCs/>
                <w:kern w:val="0"/>
                <w:szCs w:val="21"/>
              </w:rPr>
              <w:t>志愿者模式促进幼儿社会化发展的研究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朱晓菁</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松江区大学城幼儿园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小学校本课程分层走班机制的实践研究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蔡忠铭</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浦东新区龚路中心小学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89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C15089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指向普通高中学生“成功体验”的三类学习环境建设的实践研究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赵亦兰</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上海市中原中学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基于《指南》的幼儿科学经验构建及支持性策略的实践研究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黄轩勤</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静安区常熟幼儿园</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91</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C15091</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基于活动课程城乡学生对接促进互补发展的研究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俞建彬</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上海市崇明县育林中学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92</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C15092</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上海聋人综合高中班办学的实践研究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杨七平</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上海市聋哑青年技术学校</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93</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C15093</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区域早教机构对03婴幼儿亲子阅读指导的研究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徐敏</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崇明县社区早期教育指导中心</w:t>
            </w:r>
          </w:p>
        </w:tc>
      </w:tr>
      <w:tr w:rsidR="00D46382" w:rsidRPr="00D46382" w:rsidTr="001005AF">
        <w:trPr>
          <w:trHeight w:val="360"/>
        </w:trPr>
        <w:tc>
          <w:tcPr>
            <w:tcW w:w="675" w:type="dxa"/>
            <w:shd w:val="clear" w:color="auto" w:fill="auto"/>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94</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C15094</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整合与互补，教师队伍专业化建设跨区域校际合作模式与推进机制的研究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钱永标</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青浦区凤溪小学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95</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C15095</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叙事批评视角下高中小说教学内容的调适性优化研究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姚敏娇</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宝山区教师进修学院</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96</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C15096</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普通公办小学“4</w:t>
            </w:r>
            <w:r w:rsidRPr="00D46382">
              <w:rPr>
                <w:rFonts w:asciiTheme="majorEastAsia" w:eastAsiaTheme="majorEastAsia" w:hAnsiTheme="majorEastAsia" w:hint="eastAsia"/>
                <w:bCs/>
                <w:kern w:val="0"/>
                <w:szCs w:val="21"/>
              </w:rPr>
              <w:t>+</w:t>
            </w:r>
            <w:r w:rsidRPr="00D46382">
              <w:rPr>
                <w:rFonts w:asciiTheme="majorEastAsia" w:eastAsiaTheme="majorEastAsia" w:hAnsiTheme="majorEastAsia"/>
                <w:bCs/>
                <w:kern w:val="0"/>
                <w:szCs w:val="21"/>
              </w:rPr>
              <w:t>1”课程模式的构建和运行</w:t>
            </w:r>
            <w:r w:rsidRPr="00D46382">
              <w:rPr>
                <w:rFonts w:asciiTheme="majorEastAsia" w:eastAsiaTheme="majorEastAsia" w:hAnsiTheme="majorEastAsia" w:hint="eastAsia"/>
                <w:bCs/>
                <w:kern w:val="0"/>
                <w:szCs w:val="21"/>
              </w:rPr>
              <w:t>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张悦颖</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徐汇区康健外国语实验小学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97</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C15097</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初中适应性微学程系统开发和支持性教学资源建设</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葛燕华</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上海市宝钢第三中学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98</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C15098</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高中学科教学中的</w:t>
            </w:r>
            <w:proofErr w:type="spellStart"/>
            <w:r w:rsidRPr="00D46382">
              <w:rPr>
                <w:rFonts w:asciiTheme="majorEastAsia" w:eastAsiaTheme="majorEastAsia" w:hAnsiTheme="majorEastAsia"/>
                <w:bCs/>
                <w:kern w:val="0"/>
                <w:szCs w:val="21"/>
              </w:rPr>
              <w:t>iPad</w:t>
            </w:r>
            <w:proofErr w:type="spellEnd"/>
            <w:r w:rsidRPr="00D46382">
              <w:rPr>
                <w:rFonts w:asciiTheme="majorEastAsia" w:eastAsiaTheme="majorEastAsia" w:hAnsiTheme="majorEastAsia"/>
                <w:bCs/>
                <w:kern w:val="0"/>
                <w:szCs w:val="21"/>
              </w:rPr>
              <w:t>应用策略研究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夏磊</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上海市第三女子中学</w:t>
            </w:r>
          </w:p>
        </w:tc>
      </w:tr>
      <w:tr w:rsidR="00D46382" w:rsidRPr="00D46382" w:rsidTr="001005AF">
        <w:trPr>
          <w:trHeight w:val="360"/>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99</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C15099</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国学课程开发与实践研究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濮虹</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上海市甘泉外国语中学</w:t>
            </w:r>
          </w:p>
        </w:tc>
      </w:tr>
      <w:tr w:rsidR="00D46382" w:rsidRPr="00D46382" w:rsidTr="001005AF">
        <w:trPr>
          <w:trHeight w:val="295"/>
        </w:trPr>
        <w:tc>
          <w:tcPr>
            <w:tcW w:w="675"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szCs w:val="21"/>
              </w:rPr>
              <w:t>100</w:t>
            </w:r>
          </w:p>
        </w:tc>
        <w:tc>
          <w:tcPr>
            <w:tcW w:w="1276" w:type="dxa"/>
            <w:vAlign w:val="center"/>
          </w:tcPr>
          <w:p w:rsidR="00D46382" w:rsidRPr="00D46382" w:rsidRDefault="00D46382" w:rsidP="001005AF">
            <w:pPr>
              <w:jc w:val="center"/>
              <w:rPr>
                <w:rFonts w:asciiTheme="majorEastAsia" w:eastAsiaTheme="majorEastAsia" w:hAnsiTheme="majorEastAsia" w:cs="宋体"/>
                <w:szCs w:val="21"/>
              </w:rPr>
            </w:pPr>
            <w:r w:rsidRPr="00D46382">
              <w:rPr>
                <w:rFonts w:asciiTheme="majorEastAsia" w:eastAsiaTheme="majorEastAsia" w:hAnsiTheme="majorEastAsia" w:hint="eastAsia"/>
                <w:szCs w:val="21"/>
              </w:rPr>
              <w:t>C15100</w:t>
            </w:r>
          </w:p>
        </w:tc>
        <w:tc>
          <w:tcPr>
            <w:tcW w:w="6662" w:type="dxa"/>
            <w:shd w:val="clear" w:color="auto" w:fill="auto"/>
            <w:vAlign w:val="center"/>
          </w:tcPr>
          <w:p w:rsidR="00D46382" w:rsidRPr="00D46382" w:rsidRDefault="00D46382" w:rsidP="001005AF">
            <w:pPr>
              <w:widowControl/>
              <w:jc w:val="left"/>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以创新实验室为平台培养学生创新素养的教与学行动研究</w:t>
            </w:r>
          </w:p>
        </w:tc>
        <w:tc>
          <w:tcPr>
            <w:tcW w:w="113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bCs/>
                <w:kern w:val="0"/>
                <w:szCs w:val="21"/>
              </w:rPr>
              <w:t>顾燕</w:t>
            </w:r>
          </w:p>
        </w:tc>
        <w:tc>
          <w:tcPr>
            <w:tcW w:w="3544" w:type="dxa"/>
            <w:shd w:val="clear" w:color="auto" w:fill="auto"/>
            <w:vAlign w:val="center"/>
          </w:tcPr>
          <w:p w:rsidR="00D46382" w:rsidRPr="00D46382" w:rsidRDefault="00D46382" w:rsidP="001005AF">
            <w:pPr>
              <w:widowControl/>
              <w:jc w:val="center"/>
              <w:rPr>
                <w:rFonts w:asciiTheme="majorEastAsia" w:eastAsiaTheme="majorEastAsia" w:hAnsiTheme="majorEastAsia"/>
                <w:bCs/>
                <w:kern w:val="0"/>
                <w:szCs w:val="21"/>
              </w:rPr>
            </w:pPr>
            <w:r w:rsidRPr="00D46382">
              <w:rPr>
                <w:rFonts w:asciiTheme="majorEastAsia" w:eastAsiaTheme="majorEastAsia" w:hAnsiTheme="majorEastAsia" w:hint="eastAsia"/>
                <w:bCs/>
                <w:kern w:val="0"/>
                <w:szCs w:val="21"/>
              </w:rPr>
              <w:t>金山区</w:t>
            </w:r>
            <w:r w:rsidRPr="00D46382">
              <w:rPr>
                <w:rFonts w:asciiTheme="majorEastAsia" w:eastAsiaTheme="majorEastAsia" w:hAnsiTheme="majorEastAsia"/>
                <w:bCs/>
                <w:kern w:val="0"/>
                <w:szCs w:val="21"/>
              </w:rPr>
              <w:t>新农学校</w:t>
            </w:r>
          </w:p>
        </w:tc>
      </w:tr>
    </w:tbl>
    <w:p w:rsidR="00D46382" w:rsidRPr="00D46382" w:rsidRDefault="00D46382" w:rsidP="00D46382">
      <w:pPr>
        <w:spacing w:line="560" w:lineRule="exact"/>
        <w:rPr>
          <w:rFonts w:asciiTheme="majorEastAsia" w:eastAsiaTheme="majorEastAsia" w:hAnsiTheme="majorEastAsia"/>
          <w:szCs w:val="21"/>
        </w:rPr>
        <w:sectPr w:rsidR="00D46382" w:rsidRPr="00D46382" w:rsidSect="00B44CFC">
          <w:pgSz w:w="16838" w:h="11906" w:orient="landscape" w:code="9"/>
          <w:pgMar w:top="1520" w:right="2098" w:bottom="1508" w:left="1712" w:header="851" w:footer="1418" w:gutter="57"/>
          <w:cols w:space="425"/>
          <w:docGrid w:type="linesAndChars" w:linePitch="312"/>
        </w:sectPr>
      </w:pPr>
    </w:p>
    <w:p w:rsidR="00D46382" w:rsidRPr="00D46382" w:rsidRDefault="00D46382" w:rsidP="00D46382">
      <w:pPr>
        <w:spacing w:line="560" w:lineRule="exact"/>
        <w:rPr>
          <w:rFonts w:asciiTheme="majorEastAsia" w:eastAsiaTheme="majorEastAsia" w:hAnsiTheme="majorEastAsia" w:hint="eastAsia"/>
          <w:szCs w:val="21"/>
        </w:rPr>
      </w:pPr>
      <w:r w:rsidRPr="00D46382">
        <w:rPr>
          <w:rFonts w:asciiTheme="majorEastAsia" w:eastAsiaTheme="majorEastAsia" w:hAnsiTheme="majorEastAsia" w:hint="eastAsia"/>
          <w:szCs w:val="21"/>
        </w:rPr>
        <w:lastRenderedPageBreak/>
        <w:t>附件4</w:t>
      </w:r>
    </w:p>
    <w:p w:rsidR="00D46382" w:rsidRPr="00D46382" w:rsidRDefault="00D46382" w:rsidP="00D46382">
      <w:pPr>
        <w:spacing w:line="560" w:lineRule="exact"/>
        <w:jc w:val="center"/>
        <w:rPr>
          <w:rFonts w:asciiTheme="majorEastAsia" w:eastAsiaTheme="majorEastAsia" w:hAnsiTheme="majorEastAsia" w:hint="eastAsia"/>
          <w:szCs w:val="21"/>
        </w:rPr>
      </w:pPr>
      <w:r w:rsidRPr="00D46382">
        <w:rPr>
          <w:rFonts w:asciiTheme="majorEastAsia" w:eastAsiaTheme="majorEastAsia" w:hAnsiTheme="majorEastAsia" w:hint="eastAsia"/>
          <w:szCs w:val="21"/>
        </w:rPr>
        <w:t xml:space="preserve">   2015年度上海市教育科学研究决策咨询项目</w:t>
      </w:r>
    </w:p>
    <w:p w:rsidR="00D46382" w:rsidRPr="00D46382" w:rsidRDefault="00D46382" w:rsidP="00D46382">
      <w:pPr>
        <w:spacing w:line="560" w:lineRule="exact"/>
        <w:jc w:val="center"/>
        <w:rPr>
          <w:rFonts w:asciiTheme="majorEastAsia" w:eastAsiaTheme="majorEastAsia" w:hAnsiTheme="majorEastAsia" w:hint="eastAsia"/>
          <w:szCs w:val="21"/>
        </w:rPr>
      </w:pPr>
    </w:p>
    <w:tbl>
      <w:tblPr>
        <w:tblW w:w="14321"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1418"/>
        <w:gridCol w:w="7938"/>
        <w:gridCol w:w="1249"/>
        <w:gridCol w:w="2927"/>
      </w:tblGrid>
      <w:tr w:rsidR="00D46382" w:rsidRPr="00D46382" w:rsidTr="001005AF">
        <w:trPr>
          <w:trHeight w:val="443"/>
          <w:jc w:val="center"/>
        </w:trPr>
        <w:tc>
          <w:tcPr>
            <w:tcW w:w="789" w:type="dxa"/>
            <w:vAlign w:val="center"/>
          </w:tcPr>
          <w:p w:rsidR="00D46382" w:rsidRPr="00D46382" w:rsidRDefault="00D46382" w:rsidP="001005AF">
            <w:pPr>
              <w:widowControl/>
              <w:jc w:val="center"/>
              <w:rPr>
                <w:rFonts w:asciiTheme="majorEastAsia" w:eastAsiaTheme="majorEastAsia" w:hAnsiTheme="majorEastAsia" w:hint="eastAsia"/>
                <w:b/>
                <w:bCs/>
                <w:kern w:val="0"/>
                <w:szCs w:val="21"/>
              </w:rPr>
            </w:pPr>
            <w:r w:rsidRPr="00D46382">
              <w:rPr>
                <w:rFonts w:asciiTheme="majorEastAsia" w:eastAsiaTheme="majorEastAsia" w:hAnsiTheme="majorEastAsia" w:hint="eastAsia"/>
                <w:b/>
                <w:bCs/>
                <w:kern w:val="0"/>
                <w:szCs w:val="21"/>
              </w:rPr>
              <w:t>序号</w:t>
            </w:r>
          </w:p>
        </w:tc>
        <w:tc>
          <w:tcPr>
            <w:tcW w:w="1418"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立项编号</w:t>
            </w:r>
          </w:p>
        </w:tc>
        <w:tc>
          <w:tcPr>
            <w:tcW w:w="7938"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项目名称</w:t>
            </w:r>
          </w:p>
        </w:tc>
        <w:tc>
          <w:tcPr>
            <w:tcW w:w="1249" w:type="dxa"/>
            <w:shd w:val="clear" w:color="auto" w:fill="auto"/>
            <w:noWrap/>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b/>
                <w:bCs/>
                <w:kern w:val="0"/>
                <w:szCs w:val="21"/>
              </w:rPr>
              <w:t>申</w:t>
            </w:r>
            <w:r w:rsidRPr="00D46382">
              <w:rPr>
                <w:rFonts w:asciiTheme="majorEastAsia" w:eastAsiaTheme="majorEastAsia" w:hAnsiTheme="majorEastAsia" w:hint="eastAsia"/>
                <w:b/>
                <w:bCs/>
                <w:kern w:val="0"/>
                <w:szCs w:val="21"/>
              </w:rPr>
              <w:t>报</w:t>
            </w:r>
            <w:r w:rsidRPr="00D46382">
              <w:rPr>
                <w:rFonts w:asciiTheme="majorEastAsia" w:eastAsiaTheme="majorEastAsia" w:hAnsiTheme="majorEastAsia"/>
                <w:b/>
                <w:bCs/>
                <w:kern w:val="0"/>
                <w:szCs w:val="21"/>
              </w:rPr>
              <w:t>人</w:t>
            </w:r>
          </w:p>
        </w:tc>
        <w:tc>
          <w:tcPr>
            <w:tcW w:w="2927" w:type="dxa"/>
            <w:vAlign w:val="center"/>
          </w:tcPr>
          <w:p w:rsidR="00D46382" w:rsidRPr="00D46382" w:rsidRDefault="00D46382" w:rsidP="001005AF">
            <w:pPr>
              <w:widowControl/>
              <w:jc w:val="center"/>
              <w:rPr>
                <w:rFonts w:asciiTheme="majorEastAsia" w:eastAsiaTheme="majorEastAsia" w:hAnsiTheme="majorEastAsia"/>
                <w:b/>
                <w:bCs/>
                <w:kern w:val="0"/>
                <w:szCs w:val="21"/>
              </w:rPr>
            </w:pPr>
            <w:r w:rsidRPr="00D46382">
              <w:rPr>
                <w:rFonts w:asciiTheme="majorEastAsia" w:eastAsiaTheme="majorEastAsia" w:hAnsiTheme="majorEastAsia" w:hint="eastAsia"/>
                <w:b/>
                <w:bCs/>
                <w:kern w:val="0"/>
                <w:szCs w:val="21"/>
              </w:rPr>
              <w:t>申报人所在单位</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JA1501</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国家教育发展战略的新动向和新趋势研究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陈国良</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2</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JA1502</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与建设现代化国际大都市相匹配的上海教育事业发展总体战略研究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姚凯</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复旦大学</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3</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JA1503</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上海高校在建设“具有全球影响力的科技创新中心”中的作用及路径研究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张健明</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上海工程技术大学</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4</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JA1504</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上海率先全面实现教育现代化的内涵和指标体系研究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张珏</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5</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JA1505</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当代德国教育改革研究：高等教育与职业教育</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姜锋</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上海外国语大学</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6</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JA1506</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高等教育二维分类评价指标体系研究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晏开利</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7</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JB1507</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学校德育与综合素养培养体系建设研究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宗爱东</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上海市学生德育发展中心</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8</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JB1508</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外来随迁子女的学校教育问题及对策研究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高向东</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华东师范大学</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9</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JB1509</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新形势下上海市普通高校招生的对策研究——上海市普通高校招生政策的调整完善和实施情况的跟踪研究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褚慧玲</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上海市教育考试院</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10</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JB1510</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上海地方性的普通高校设置标准研究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吴海燕</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11</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JB1511</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鼓励和支持社会力量兴办教育的机制和政策研究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王欣</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12</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JB1512</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规划实施情况的跟踪与评估机制研究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胡伶</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上海市教育科学研究院</w:t>
            </w:r>
          </w:p>
        </w:tc>
      </w:tr>
      <w:tr w:rsidR="00D46382" w:rsidRPr="00D46382" w:rsidTr="001005AF">
        <w:trPr>
          <w:trHeight w:val="360"/>
          <w:jc w:val="center"/>
        </w:trPr>
        <w:tc>
          <w:tcPr>
            <w:tcW w:w="789" w:type="dxa"/>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13</w:t>
            </w:r>
          </w:p>
        </w:tc>
        <w:tc>
          <w:tcPr>
            <w:tcW w:w="1418" w:type="dxa"/>
            <w:shd w:val="clear" w:color="auto" w:fill="auto"/>
            <w:noWrap/>
            <w:vAlign w:val="center"/>
          </w:tcPr>
          <w:p w:rsidR="00D46382" w:rsidRPr="00D46382" w:rsidRDefault="00D46382" w:rsidP="001005AF">
            <w:pPr>
              <w:jc w:val="center"/>
              <w:rPr>
                <w:rFonts w:asciiTheme="majorEastAsia" w:eastAsiaTheme="majorEastAsia" w:hAnsiTheme="majorEastAsia"/>
                <w:szCs w:val="21"/>
              </w:rPr>
            </w:pPr>
            <w:r w:rsidRPr="00D46382">
              <w:rPr>
                <w:rFonts w:asciiTheme="majorEastAsia" w:eastAsiaTheme="majorEastAsia" w:hAnsiTheme="majorEastAsia" w:hint="eastAsia"/>
                <w:szCs w:val="21"/>
              </w:rPr>
              <w:t>JB1513</w:t>
            </w:r>
          </w:p>
        </w:tc>
        <w:tc>
          <w:tcPr>
            <w:tcW w:w="7938" w:type="dxa"/>
            <w:shd w:val="clear" w:color="auto" w:fill="auto"/>
            <w:vAlign w:val="center"/>
          </w:tcPr>
          <w:p w:rsidR="00D46382" w:rsidRPr="00D46382" w:rsidRDefault="00D46382" w:rsidP="001005AF">
            <w:pPr>
              <w:widowControl/>
              <w:jc w:val="left"/>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推进教育治理体系和治理能力现代化研究</w:t>
            </w:r>
          </w:p>
        </w:tc>
        <w:tc>
          <w:tcPr>
            <w:tcW w:w="1249" w:type="dxa"/>
            <w:shd w:val="clear" w:color="auto" w:fill="auto"/>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吴磊</w:t>
            </w:r>
          </w:p>
        </w:tc>
        <w:tc>
          <w:tcPr>
            <w:tcW w:w="2927" w:type="dxa"/>
            <w:vAlign w:val="center"/>
          </w:tcPr>
          <w:p w:rsidR="00D46382" w:rsidRPr="00D46382" w:rsidRDefault="00D46382" w:rsidP="001005AF">
            <w:pPr>
              <w:widowControl/>
              <w:jc w:val="center"/>
              <w:rPr>
                <w:rFonts w:asciiTheme="majorEastAsia" w:eastAsiaTheme="majorEastAsia" w:hAnsiTheme="majorEastAsia"/>
                <w:kern w:val="0"/>
                <w:szCs w:val="21"/>
              </w:rPr>
            </w:pPr>
            <w:r w:rsidRPr="00D46382">
              <w:rPr>
                <w:rFonts w:asciiTheme="majorEastAsia" w:eastAsiaTheme="majorEastAsia" w:hAnsiTheme="majorEastAsia" w:hint="eastAsia"/>
                <w:kern w:val="0"/>
                <w:szCs w:val="21"/>
              </w:rPr>
              <w:t>上海工程技术大学</w:t>
            </w:r>
          </w:p>
        </w:tc>
      </w:tr>
    </w:tbl>
    <w:p w:rsidR="00D46382" w:rsidRPr="00D46382" w:rsidRDefault="00D46382" w:rsidP="00D46382">
      <w:pPr>
        <w:spacing w:line="560" w:lineRule="exact"/>
        <w:rPr>
          <w:rFonts w:asciiTheme="majorEastAsia" w:eastAsiaTheme="majorEastAsia" w:hAnsiTheme="majorEastAsia"/>
          <w:szCs w:val="21"/>
        </w:rPr>
        <w:sectPr w:rsidR="00D46382" w:rsidRPr="00D46382" w:rsidSect="00DB0725">
          <w:pgSz w:w="16838" w:h="11906" w:orient="landscape" w:code="9"/>
          <w:pgMar w:top="1520" w:right="2098" w:bottom="1508" w:left="1712" w:header="851" w:footer="1418" w:gutter="57"/>
          <w:cols w:space="425"/>
          <w:docGrid w:type="linesAndChars" w:linePitch="312"/>
        </w:sectPr>
      </w:pPr>
    </w:p>
    <w:p w:rsidR="00D46382" w:rsidRPr="00D46382" w:rsidRDefault="00D46382" w:rsidP="00D46382">
      <w:pPr>
        <w:spacing w:line="560" w:lineRule="exact"/>
        <w:ind w:right="140"/>
        <w:rPr>
          <w:rFonts w:asciiTheme="majorEastAsia" w:eastAsiaTheme="majorEastAsia" w:hAnsiTheme="majorEastAsia" w:hint="eastAsia"/>
          <w:szCs w:val="21"/>
        </w:rPr>
      </w:pPr>
    </w:p>
    <w:p w:rsidR="00D46382" w:rsidRPr="00D46382" w:rsidRDefault="00D46382" w:rsidP="00D46382">
      <w:pPr>
        <w:rPr>
          <w:rFonts w:asciiTheme="majorEastAsia" w:eastAsiaTheme="majorEastAsia" w:hAnsiTheme="majorEastAsia" w:hint="eastAsia"/>
          <w:szCs w:val="21"/>
        </w:rPr>
      </w:pPr>
    </w:p>
    <w:sectPr w:rsidR="00D46382" w:rsidRPr="00D46382" w:rsidSect="00070C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BA6" w:rsidRDefault="00C24BA6" w:rsidP="00D46382">
      <w:r>
        <w:separator/>
      </w:r>
    </w:p>
  </w:endnote>
  <w:endnote w:type="continuationSeparator" w:id="0">
    <w:p w:rsidR="00C24BA6" w:rsidRDefault="00C24BA6" w:rsidP="00D46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BA6" w:rsidRDefault="00C24BA6" w:rsidP="00D46382">
      <w:r>
        <w:separator/>
      </w:r>
    </w:p>
  </w:footnote>
  <w:footnote w:type="continuationSeparator" w:id="0">
    <w:p w:rsidR="00C24BA6" w:rsidRDefault="00C24BA6" w:rsidP="00D46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6382"/>
    <w:rsid w:val="00070CB7"/>
    <w:rsid w:val="000E01D1"/>
    <w:rsid w:val="00C24BA6"/>
    <w:rsid w:val="00D46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3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6382"/>
    <w:rPr>
      <w:sz w:val="18"/>
      <w:szCs w:val="18"/>
    </w:rPr>
  </w:style>
  <w:style w:type="paragraph" w:styleId="a4">
    <w:name w:val="footer"/>
    <w:basedOn w:val="a"/>
    <w:link w:val="Char0"/>
    <w:uiPriority w:val="99"/>
    <w:semiHidden/>
    <w:unhideWhenUsed/>
    <w:rsid w:val="00D463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63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1089</Words>
  <Characters>6213</Characters>
  <Application>Microsoft Office Word</Application>
  <DocSecurity>0</DocSecurity>
  <Lines>51</Lines>
  <Paragraphs>14</Paragraphs>
  <ScaleCrop>false</ScaleCrop>
  <Company>Microsoft</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2015-08-25T01:38:00Z</dcterms:created>
  <dcterms:modified xsi:type="dcterms:W3CDTF">2015-08-25T01:42:00Z</dcterms:modified>
</cp:coreProperties>
</file>